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В системе образования района на 1 сентября 2012 года функционируют 10 дошкольных образовательных учреждений, 2 учреждения дополнительного образования и 15 школ, из них: начальных школ-детских садов – 5, основных – 5, средних – 5 и специальная (коррекционная) общеобразовательная школа-интернат 8 вида, 5 дошкольных группы при основных школах. Общая численность детей дошкольного возраста (от 0 до 7 лет), зарегистрированных в муниципальном образовании – 1178, из них в городской местности – 815, в сельской местности – 363. Количество детей, охваченных дошкольным образованием – 690, из них в городской местности – 482, в сельской местности – 208. Охват общественным дошкольным образованием в районе –59%.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Численность детей, нуждающихся в устройстве в детские сады 0  до  3  лет  – 281. 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Из  них  от  родителей  детей  в  возрасте:  до  1  года – 88; от  1  до  1,5  - 75; от 1,5  до  2  лет – 29; от  2  до  3  лет – 89.</w:t>
      </w:r>
      <w:proofErr w:type="gramEnd"/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Реальная  потребность  в  местах  в  текущем  году  в  возрасте  от  1  до  3  лет – 74.  Из  них  детей  в  возрасте:  от  1  года  до  1,5 – 9;  от  1,5 до  2  лет – 25;  от  2  до  3  лет – 40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Дети в возрасте от 3 до 7 лет, нуждающиеся в дошкольном образовании, полностью охвачены.  Групп кратковременного пребывания детей в районе нет. Количество дошкольных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групп полного дня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в образовательных учреждениях – 48. Количество групп компенсирующей направленности для детей с нарушением речи – 2 (1 – МДОУ «Детский сад комбинированного вида №7 «Ленок», 1 – МДОУ «Детский сад комбинированного вида №11 «Сказка»).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По уровню готовности детей к школе высокий уровень показали – 53 человека (43%), из них в городских детских садах – 47 (54%), в сельских – 6 (17%); средний уровень показали –63 человека (52%), из них в городских детских садах – 37 (43%), в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сельских – 26 (74%);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низкий уровень показали – 6 человек (5%), из них в городских детских садах – 3 (3%), в сельских – 3 (9%).</w:t>
      </w:r>
      <w:proofErr w:type="gramEnd"/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Медицинское обслуживание осуществляется в 6 дошкольных образовательных учреждениях, в  том  числе  в  5  городских, в 1 сельском.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В других дошкольных учреждениях медицинское обслуживание осуществляется на основе договоров, заключенных с Белозерской ЦРБ.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Изменения в Порядок начисления и взимания платы за содержание детей в образовательных учреждениях, реализующих программу дошкольного образования, с 1 августа 2011  года  не  внесены. В городских детских садах родительская плата составляет 75 рублей в день, в сельских детских  садах – 65 рублей в день.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В районе создана достаточная сеть образовательных учреждений, способная удовлетворить потребности населения в образовательных услугах. При МОУ «Средняя общеобразовательная школа №2 имени С.С. Орлова» в 2011-2012 учебном году был создан один класс коррекционного обучения, в котором обучались 9 человек. В специальной (коррекционной) общеобразовательной школе – интернате 8 вида проходили обучение 47 человек.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При МОУ «Средняя общеобразовательная школа № 2 имени С.С. Орлова» уже 11-ый год функционирует УКП, в котором проходили обучение 13 человек, из них 6 человек переведены в следующий класс и 7 человек окончили школу.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Ежегодно есть дети-инвалиды, которые получают образование в форме индивидуального обучения. В этом учебном году 10 чел. проходят обучение на дому (средняя общеобразовательная школа № 1 – 3 человека,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Мондомская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средняя общеобразовательная школа – 1 человек,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Шольская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средняя общеобразовательная школа – 1 человек, специальная (коррекционная)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общеобразовательная школа интернат – 5 человек). В 2010-2011 учебном году район подключился к участию в проекте «Дистанционное образование детей-инвалидов».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В настоящее время в проекте участвуют 5 детей в возрасте от 7 до 14 лет.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Контингент учащихся по району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на конец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 2011-2012 учебного года составил 1584 чел. (в т.ч. 45 чел. 8 вида), в сравнении с 2010-2011 уменьшилось на 31 чел. (с 2009-2010 учебным годом уменьшился на 71 человек).  По прогнозам на 1 сентября 2012 года прием в 1 классы составит 146 чел. (в прошлом году было 184 чел.).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Оставлены на повторный курс обучения 14 человек (на 4 чел. меньше чем в предыдущем):  в 1-4 классах – 3 чел., 5-9 классах – 11 чел., в том числе по образовательным учреждениям: средняя № 1 – 2 чел., средняя № 2 – 7 чел.,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Шольская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–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1 чел.,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Глушковская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OOШ  - 1 чел, специальная (коррекционная) VIII вида – 3 чел.. Окончили  11 класс со справкой 4 человека из средней школы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№ 2 и № 1,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Мондомской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средней общеобразовательной школы.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Закончили учебный год без второгодников 12 общеобразовательных учреждений.   Переведены в следующий класс с одной «2» - 9 чел. (6 чел.), на 3 человека больше, чем в предыдущем учебном году.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Средний процент успеваемости 98,4% (98,9%), что в сравнении с предыдущим учебным годом ниже на 0,5 %  прошлого года.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Ниже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среднерайонного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показателя успеваемость в средней общеобразовательной школе №2 и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Глушковской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ООШ.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Окончили школу на «4» и «5»  694 чел.  Процент обучающихся на «4» и «5» составил по району 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u w:val="single"/>
          <w:lang w:eastAsia="ru-RU"/>
        </w:rPr>
        <w:t>51,2 %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(</w:t>
      </w:r>
      <w:r w:rsidRPr="005F5EDE">
        <w:rPr>
          <w:rFonts w:ascii="Times New Roman" w:eastAsia="Times New Roman" w:hAnsi="Times New Roman" w:cs="Times New Roman"/>
          <w:i/>
          <w:iCs/>
          <w:color w:val="16303A"/>
          <w:sz w:val="28"/>
          <w:szCs w:val="28"/>
          <w:lang w:eastAsia="ru-RU"/>
        </w:rPr>
        <w:t>50,8%)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, что по сравнению с предыдущим годом выше  на 0,4%. В 1 – 4 классах 63,9 % (66,1%) учащихся закончили учебный год на «4» и «5» (ниже на 2,2%), в 5-9 классах – 43,9 % (41,7) (выше на 2,2 %), в 10-11 классах – 52,2 % (53,6%) (ниже на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1,4 %).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В 2011-2012 учебном году выпуск из 9 классов составил 147 человек,    из них 1 выпускник из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Бубровской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ООШ обучавшийся по  заочной форме, к государственной (итоговой) аттестации не были допущены 3 обучающихся из средней общеобразовательной школы №2.    144 обучающихся  успешно прошли итоговую аттестацию и получили документ об образовании, в том числе особого образца – 4 чел.  (2,8 % от выпуска) из Белозерской СОШ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№1 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В этом году обязательные экзамены по математике и русскому языку проводились с использованием заданий стандартизированной формы  (далее  - ГИА – 9), два экзамена по выбору из числа, изучавшихся в 9 классе, выпускники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сдавали в традиционной форме. В  форме ГИА-9 сдавали экзамены 136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обучающихся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.  В традиционной форме сдавали экзамены  7 выпускников, из них 6 чел. – выпускники с ограниченными возможностями здоровья, 1 чел. – по причине болезни, 1 чел. – выпускник, находящийся на заочной форме обучения.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Для проведения экзаменов по русскому языку и математике было создано 5 ППЭ на базе следующих школ: Белозерской СОШ №1, Белозерской СОШ №2,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Антушевской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Мондомской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Шольской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С целью обеспечения наиболее полного информирования населения о ходе  государственной (итоговой) аттестации и контроля соблюдения единых требований проведения выпускных экзаменов в новой форме ГИА – 9  в пункты проведения экзаменов  направлены общественные наблюдатели в количестве 9 человек. Замечаний и нарушений по процедуре проведения экзаменов не выявлено.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Апелляций по процедуре и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несогласии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 выставленными баллами в конфликтную комиссию не поступили.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В целом успеваемость по результатам экзамена по математики в Белозерском    районе в 2012 году составила 88,8%, а процент учащихся, справившихся с экзаменационной работой на «4» и «5», - 26,4 %. Доля неудовлетворительных отметок – 16,2 %.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Самый лучший результат показал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Свитлик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Илья, ученик 9-б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кл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. Белозерской СОШ №1, набрав  30 баллов из 34. Хорошее качество знаний по итоговой аттестации за курс основной школы на экзамене по математики показали обучающиеся 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Мегринской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ООШ,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Енинской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ООШ,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Шольской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Получили отметку «2» обучающиеся 5 (50 %) общеобразовательных учреждений. Наибольший процент «2» в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Глушковской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ООШ  (50%), Белозерской СОШ №2 (25,8 %), Белозерской СОШ №1 (17%). Выпускники, получившие неудовлетворительные отметки в основной срок, пересдавали экзамен в традиционной форме.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По итогам экзамена по русскому языку качество знаний составило 62,5%, успеваемость – 97,1 %, «2» - 2,9%. Средний балл по экзаменам подтвердил средний годовой.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Наивысший результат, набрав 42 балла, показали 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обучающиеся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: Белозерской СОШ №1 (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Беленко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Мария;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Ширинская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Диана),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Шольской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 (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Мурова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Анастасия).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Качество знаний выше среднего по району и 100 % успеваемость показали следующие школы: Белозерская СОШ №2,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Антушевская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Шольская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Глушковская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ООШ,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Енинская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ООШ,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Мегринская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ООШ.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Неудовлетворительные отметки получили обучающиеся Белозерской СОШ №1  и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Монодомской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СОШ, успешно пересдав экзамен в традиционной форме.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Предметы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по выбору обучающиеся  сдавали в традиционной форме, ими было выбрано 11 предметов, из которых предпочтение  отдано, как  и в предыдущем учебном году, физической культуре,  географии,  обществознанию. Все экзамены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обучающимися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 сданы успешно.</w:t>
      </w:r>
    </w:p>
    <w:p w:rsidR="005F5EDE" w:rsidRPr="005F5EDE" w:rsidRDefault="005F5EDE" w:rsidP="005F5EDE">
      <w:pPr>
        <w:shd w:val="clear" w:color="auto" w:fill="FFFFFF"/>
        <w:tabs>
          <w:tab w:val="left" w:pos="7590"/>
        </w:tabs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ab/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3"/>
        <w:gridCol w:w="1984"/>
        <w:gridCol w:w="12464"/>
        <w:gridCol w:w="4309"/>
      </w:tblGrid>
      <w:tr w:rsidR="005F5EDE" w:rsidRPr="005F5EDE" w:rsidTr="005F5EDE">
        <w:tc>
          <w:tcPr>
            <w:tcW w:w="2843" w:type="dxa"/>
            <w:vMerge w:val="restart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4" w:type="dxa"/>
            <w:vMerge w:val="restart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Количество</w:t>
            </w:r>
          </w:p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сдававших</w:t>
            </w:r>
          </w:p>
        </w:tc>
        <w:tc>
          <w:tcPr>
            <w:tcW w:w="16773" w:type="dxa"/>
            <w:gridSpan w:val="2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Рейтинг предметов  %</w:t>
            </w:r>
          </w:p>
        </w:tc>
      </w:tr>
      <w:tr w:rsidR="005F5EDE" w:rsidRPr="005F5EDE" w:rsidTr="005F5EDE">
        <w:trPr>
          <w:trHeight w:val="722"/>
        </w:trPr>
        <w:tc>
          <w:tcPr>
            <w:tcW w:w="2843" w:type="dxa"/>
            <w:vMerge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vAlign w:val="center"/>
            <w:hideMark/>
          </w:tcPr>
          <w:p w:rsidR="005F5EDE" w:rsidRPr="005F5EDE" w:rsidRDefault="005F5EDE" w:rsidP="005F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vAlign w:val="center"/>
            <w:hideMark/>
          </w:tcPr>
          <w:p w:rsidR="005F5EDE" w:rsidRPr="005F5EDE" w:rsidRDefault="005F5EDE" w:rsidP="005F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 xml:space="preserve">2010 – 2011 </w:t>
            </w:r>
            <w:proofErr w:type="spellStart"/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уч</w:t>
            </w:r>
            <w:proofErr w:type="spellEnd"/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. год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 xml:space="preserve">2011 – 2012 </w:t>
            </w:r>
            <w:proofErr w:type="spellStart"/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уч</w:t>
            </w:r>
            <w:proofErr w:type="spellEnd"/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. год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lastRenderedPageBreak/>
              <w:t>обществознание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27,8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33,5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40,3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14,6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11,8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11,1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9,7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14,6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0,7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3,5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39,4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15,9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vAlign w:val="center"/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37,4</w:t>
            </w:r>
          </w:p>
        </w:tc>
        <w:tc>
          <w:tcPr>
            <w:tcW w:w="430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center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41,6</w:t>
            </w:r>
          </w:p>
        </w:tc>
      </w:tr>
    </w:tbl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В 2011 – 2012 учебном году в государственной (итоговой) аттестации обучающихся, освоивших образовательные программы среднего (полного) общего образования, приняли участие 83 человека, из них   75 выпускников 11 классов, обучающихся по очной форме обучения,  7 человек из 12 класса УКП Белозерской СОШ № 2 и 1 человек из  Белозерской СОШ №1, обучавшийся в форме экстерната.  76 выпускников успешно прошли итоговую аттестацию и получили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документ  об образовании, из них 71 выпускник 11 классов, 4  человека из 12 классов и 1 экстернат.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Государственную (итоговую) аттестацию (с учетом пересдачи в резервные дни) не прошли 4 выпускника общеобразовательных учреждений района (Белозерской СОШ №1 – 2 чел., Белозерской СОШ №2 – 1 чел.,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Мондомской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 – 1 чел.), что составляет 5,3 % от числа выпускников 11 классов (в 2011 – 1 выпускник или 1,2 %), из них 1 человек не сдал оба обязательных предмета, 3 человека – математику,   и 3 выпускника УКП.</w:t>
      </w:r>
      <w:proofErr w:type="gramEnd"/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В этом учебном году выпускники средних общеобразовательных школ сдавали обязательные экзамены (русский язык и математика) и экзамены по выбору  в форме ЕГЭ.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Y="-73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43"/>
        <w:gridCol w:w="1564"/>
        <w:gridCol w:w="1905"/>
        <w:gridCol w:w="2039"/>
      </w:tblGrid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Количество выпускников, сдававших</w:t>
            </w:r>
          </w:p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lastRenderedPageBreak/>
              <w:t>ЕГЭ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lastRenderedPageBreak/>
              <w:t>Процент сдавших от общего количества выпускников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 xml:space="preserve">Количество человек, сдавших ниже минимального количества баллов (в </w:t>
            </w: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lastRenderedPageBreak/>
              <w:t xml:space="preserve">процентах </w:t>
            </w:r>
            <w:proofErr w:type="gramStart"/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от</w:t>
            </w:r>
            <w:proofErr w:type="gramEnd"/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 xml:space="preserve"> сдававших)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 (1,3 %)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4 (5,3 %)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22,4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0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71,1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 (3,7 %)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18,4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3 (21,4 %)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lastRenderedPageBreak/>
              <w:t>Биология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32,9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0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0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0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0</w:t>
            </w:r>
          </w:p>
        </w:tc>
      </w:tr>
      <w:tr w:rsidR="005F5EDE" w:rsidRPr="005F5EDE" w:rsidTr="005F5EDE">
        <w:tc>
          <w:tcPr>
            <w:tcW w:w="2843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564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05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26,3</w:t>
            </w:r>
          </w:p>
        </w:tc>
        <w:tc>
          <w:tcPr>
            <w:tcW w:w="2039" w:type="dxa"/>
            <w:tcBorders>
              <w:top w:val="single" w:sz="18" w:space="0" w:color="EEEEEE"/>
              <w:left w:val="single" w:sz="18" w:space="0" w:color="EEEEEE"/>
              <w:bottom w:val="single" w:sz="18" w:space="0" w:color="EEEEEE"/>
              <w:right w:val="single" w:sz="18" w:space="0" w:color="EEEEEE"/>
            </w:tcBorders>
            <w:shd w:val="clear" w:color="auto" w:fill="FFFFFF"/>
            <w:tcMar>
              <w:top w:w="149" w:type="dxa"/>
              <w:left w:w="149" w:type="dxa"/>
              <w:bottom w:w="149" w:type="dxa"/>
              <w:right w:w="149" w:type="dxa"/>
            </w:tcMar>
            <w:hideMark/>
          </w:tcPr>
          <w:p w:rsidR="005F5EDE" w:rsidRPr="005F5EDE" w:rsidRDefault="005F5EDE" w:rsidP="005F5EDE">
            <w:pPr>
              <w:spacing w:after="0" w:line="993" w:lineRule="atLeast"/>
              <w:jc w:val="both"/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</w:pPr>
            <w:r w:rsidRPr="005F5EDE">
              <w:rPr>
                <w:rFonts w:ascii="Times New Roman" w:eastAsia="Times New Roman" w:hAnsi="Times New Roman" w:cs="Times New Roman"/>
                <w:color w:val="16303A"/>
                <w:sz w:val="28"/>
                <w:szCs w:val="28"/>
                <w:lang w:eastAsia="ru-RU"/>
              </w:rPr>
              <w:t>7 (35 %)</w:t>
            </w:r>
          </w:p>
        </w:tc>
      </w:tr>
    </w:tbl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Из предметов по выбору, как  и в предыдущем учебном году, предпочтение отдано обществознанию – 71,1 % (в 2011 – 50,9 %), биологии – 32,9 % (35,8 %), физике – 26,3 % (24,5 %).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По результатам итоговой аттестации в 2011 – 2012 учебном году награждены золотой медалью «За особые успехи в учении» 2 выпускницы из Белозерской СОШ №1 (Белякова Ольга, Васюхина Ксения), 3 выпускницы из Белозерской СОШ №2 (Горелова Ольга, Королёва Надежда, Ксенофонтова Екатерина) и одна из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Мондомской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 (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Мокеева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Ольга). Серебряной медалью «За особые успехи в учении» награждены две выпускницы из Белозерской СОШ №1 (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Голубева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Светлана и Шилова Анастасия) и одна из Белозерской СОШ №2 (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Натрошвили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Эллина).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В основном выпускники, окончившие школу с золотой, серебряной медалями «За особые успехи в учении», подтверждают свои знания при сдаче  экзаменов в форме ЕГЭ и при поступлении в высшие учебные заведения.</w:t>
      </w:r>
      <w:proofErr w:type="gramEnd"/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Образовательными учреждениями района определены учебно-методические комплексы в соответствии с требованиями ФГОС НОО, по которым будет вестись учебный процесс, закуплены учебники и учебные пособия.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Во всех образовательных учреждениях района (кроме МОУ «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Енинская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основная общеобразовательная школа»):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-составлены планы-графики реализации ФГОС в образовательном учреждении;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-созданы рабочие группы по введению ФГОС, распределены обязанности педагогов;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-проведены педсоветы по ФГОС НОО;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-проведены родительские собрания с родителями будущих первоклассников, заключаются договора;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-завершается разработка рабочих программ по учебным предметам, программ по внеурочной деятельности;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-созданы и утверждены основные образовательные программы образовательных учреждений.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Перспективы развития нашей страны во многом определяются тем, каким вырастет подрастающее поколение. Формирование личности проходит не только в семье, но и в школе. Именно тогда, когда дети решают самостоятельно, с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кем быть и какими быть, они наиболее социально значимо раскрываются, реализуют свою индивидуальность. Такую возможность детям предоставляет внешкольная жизнедеятельность. Развитие у детей творческой инициативы и самостоятельности, конструкторских и рационализаторских навыков является одной из важнейших задач воспитания. Муниципальная система образования района готова к решению задач по обеспечению равного доступа школьников к полноценному качественному образованию, в соответствии с их интересами, склонностями и способностями, к созданию условий развития ребенка, развитие мотивации личности к познанию и творчеству.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В образовательных учреждениях района проводится профилактическая работа по злоупотреблению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психоактивными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веществами в детской и молодёжной среде. Данная деятельность, как правило, строится на комплексной основе и обеспечивается совместными усилиями заместителя по воспитательной работе, учителей, психологов, медиков,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социальных педагогов, сотрудников правоохранительных органов. В образовательных учреждениях района сложилась система работы по предупреждению негативных явлений в молодёжной среде. При решении задач по профилактике правонарушений среди несовершеннолетних образовательные учреждения взаимодействуют со следующими учреждениями и специалистами: районный отдел внутренних дел, комиссия по делам несовершеннолетних при администрации района, центральная районная больница, МБУ «Центр социальной помощи семье и детям». Патриотическое гражданское воспитание учащихся сегодня определено как приоритетное направление в работе образовательных учреждений Белозерского района. Сохранены лучшие традиции, направленные на формирование у учащихся чувства гордости за героическое прошлое своей Родины, активизацию интереса к углубленному изучению истории Отечества, повышение интереса к военно-прикладным видам спорта, развитие физических и волевых качеств,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готовности к защите Отечества.         Физическое воспитание является одной из составляющих культуры общества. Целью физического воспитания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осуществлять физкультурно-оздоровительную и спортивную деятельность. Во всех общеобразовательных школах района согласно базисному учебному плану 3 часа в неделю проводились уроки физической культуры. В учреждениях организована работа кружков спортивной и физкультурно-оздоровительной направленностей. В районе работает Детско-юношеская спортивная школа, которую посещают 260 учащихся, также в Детско-юношеском центре реализуются программы дополнительного образования физкультурно-оздоровительной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направленности. В учебном процессе учителями школ широко используются физкультминутки, в 1 классе проводится динамическая пауза (40 минут) на улице в форме урока-игры. В школах работа спортивных залов сориентирована на вечерние время и выходные дни. В течение года проходит районная годовая спартакиада школьников по различным видам спорта: лёгкоатлетический кросс, футбол, волейбол, баскетбол, лёгкоатлетическое троеборье, стрельба. В работе образовательных учреждений используются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здоровьесберегающие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технологии. Во внеурочной деятельности в образовательных учреждениях активно организуются и проводятся различные мероприятия спортивной и физкультурно-оздоровительной направленности: Неделя здоровья, День здоровья, Малая спартакиада, утренняя гимнастика, «Веселые переменки», лыжная эстафета, товарищеские встречи по различным видам спорта, «Веселые старты». Проведение работы по физическому воспитанию способствует профилактике правонарушений среди подростков.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Организация работы с родителями в образовательных учреждениях является одним из значимых направлений. Успешное решение задач воспитания возможно только при объединении усилий семьи и школы. Повышение педагогической культуры родителей является основой раскрытия их творческого потенциала, совершенствования семейного воспитания.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Во всех образовательных учреждениях созданы советы школы, родительские комитеты, совет профилактики (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Енинская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ООШ,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Антушевская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СОШ, СОШ №2), комиссия дисциплины и порядка, учебная комиссия (СОШ №1).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В целях повышения статуса семьи в обществе, ее роли в воспитании ребенка, для развития интереса детей к своему роду, семейным традициям, а также для организации совместной деятельности родителей и детей в школах проводятся различные мероприятия: совместные праздники, концерты, спортивные соревнования («Мама, папа, я – спортивная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семья», «Малые олимпийские игры», «Мы дружим со спортом», «Весёлые старты»), походы, благоустройство территории школы и другие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Учреждения дополнительного образования реализуют программы дополнительного образования по следующим направлениям деятельности: художественно – эстетическому, физкультурно-спортивному, социально-педагогическому, туристско-краеведческому, спортивн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о-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техническому. В каникулярное время (летний период) на базе учреждений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дополнительного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образование организуются профильные смены. Так же учреждения дополнительного образования в районе являются организационно-методическими центрами, осуществляя подготовку и проведение районных мероприятий, оказывая методическую помощь школам в развитии дополнительного образования.</w:t>
      </w:r>
    </w:p>
    <w:p w:rsidR="005F5EDE" w:rsidRPr="005F5EDE" w:rsidRDefault="005F5EDE" w:rsidP="005F5EDE">
      <w:pPr>
        <w:shd w:val="clear" w:color="auto" w:fill="FFFFFF"/>
        <w:spacing w:after="0" w:line="993" w:lineRule="atLeast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Очень важную роль в системе образования занимает комплексная безопасность образовательных учреждений. Во всех образовательных учреждениях имеется автоматическая пожарная сигнализация, голосовое и звуковое оповещение о пожаре. Видеосистема наблюдения установлена в МОУ «Белозерская специальная (коррекционная) школа-интернат VIII вида», МОУ «Средняя общеобразовательная школа № 2 имени С.С. Орлова»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г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. Белозерска, МОУ «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Антушевская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средняя общеобразовательная школа», МОУ «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Шольская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 средняя общеобразовательная школа». В штатных расписаниях всех образовательных учреждений сохранены ставки сторожей. Во время образовательного процесса вахтерами или дежурными педагогами осуществляется контрольно-пропускной режим в образовательных учреждениях. В 2011-2012 учебном году в 8 образовательных учреждениях будет организован подвоз обучающихся школьным транспортом. Во всех образовательных учреждениях организовано горячее питание обучающихся. В 25 образовательных учреждениях </w:t>
      </w:r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 xml:space="preserve">функционируют свои пищеблоки. Все пищеблоки имеют необходимый инвентарь и оборудование, мебель, но требуется постепенная замена новым современным оборудованием. Работниками пищеблоков соблюдаются необходимые санитарные требования, своевременно проходятся медицинские осмотры и аттестация санитарного минимума. В МОУ «Средняя общеобразовательная школа № 1 имени Героя Советского Союза И.П. </w:t>
      </w:r>
      <w:proofErr w:type="spell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Малозёмова</w:t>
      </w:r>
      <w:proofErr w:type="spell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 xml:space="preserve">», МОУ «Средняя общеобразовательная школа № 2 имени С.С. Орлова» </w:t>
      </w:r>
      <w:proofErr w:type="gramStart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г</w:t>
      </w:r>
      <w:proofErr w:type="gramEnd"/>
      <w:r w:rsidRPr="005F5EDE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. Белозерска, МОУ «Белозерская специальная (коррекционная) школа-интернат VIII вида» имеются оборудованные лицензированные медицинские кабинеты, обслуживаются медицинскими работниками Белозерской ЦРБ. В сельских образовательных учреждениях заключены договоры на медицинское обслуживание с фельдшерско-акушерскими пунктами Белозерской ЦРБ.</w:t>
      </w:r>
    </w:p>
    <w:p w:rsidR="007F7A80" w:rsidRPr="005F5EDE" w:rsidRDefault="007F7A80">
      <w:pPr>
        <w:rPr>
          <w:rFonts w:ascii="Times New Roman" w:hAnsi="Times New Roman" w:cs="Times New Roman"/>
          <w:sz w:val="28"/>
          <w:szCs w:val="28"/>
        </w:rPr>
      </w:pPr>
    </w:p>
    <w:sectPr w:rsidR="007F7A80" w:rsidRPr="005F5EDE" w:rsidSect="005F5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2C8"/>
    <w:rsid w:val="003F5B42"/>
    <w:rsid w:val="005F5EDE"/>
    <w:rsid w:val="007F7A80"/>
    <w:rsid w:val="00AE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5EDE"/>
  </w:style>
  <w:style w:type="character" w:styleId="a4">
    <w:name w:val="Emphasis"/>
    <w:basedOn w:val="a0"/>
    <w:uiPriority w:val="20"/>
    <w:qFormat/>
    <w:rsid w:val="005F5E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2888</Words>
  <Characters>16462</Characters>
  <Application>Microsoft Office Word</Application>
  <DocSecurity>0</DocSecurity>
  <Lines>137</Lines>
  <Paragraphs>38</Paragraphs>
  <ScaleCrop>false</ScaleCrop>
  <Company/>
  <LinksUpToDate>false</LinksUpToDate>
  <CharactersWithSpaces>19312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2016-08-09T18:16:00Z</dcterms:created>
  <dcterms:modified xsi:type="dcterms:W3CDTF">2016-08-09T18:16:00Z</dcterms:modified>
</cp:coreProperties>
</file>